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404040"/>
          <w:sz w:val="32"/>
          <w:szCs w:val="32"/>
        </w:rPr>
      </w:pPr>
      <w:r w:rsidDel="00000000" w:rsidR="00000000" w:rsidRPr="00000000">
        <w:rPr>
          <w:rFonts w:ascii="Arial Narrow" w:cs="Arial Narrow" w:eastAsia="Arial Narrow" w:hAnsi="Arial Narrow"/>
          <w:b w:val="1"/>
          <w:color w:val="404040"/>
          <w:sz w:val="32"/>
          <w:szCs w:val="32"/>
          <w:rtl w:val="0"/>
        </w:rPr>
        <w:t xml:space="preserve">CAF promueve la competitividad de México con apoyo a la Red Compartida de telecomunicaciones de ALTÁN Redes</w:t>
      </w:r>
    </w:p>
    <w:p w:rsidR="00000000" w:rsidDel="00000000" w:rsidP="00000000" w:rsidRDefault="00000000" w:rsidRPr="00000000" w14:paraId="00000001">
      <w:pPr>
        <w:contextualSpacing w:val="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Mediante un crédito de largo plazo se fomentará este modelo innovador de oferta de servicios mayoristas de telecomunicaciones, que impulsa el aprovechamiento de 90 MHz en la banda de frecuencias de 700 MHz (la banda de frecuencia más poderosa que existe), y una cobertura comprometida a por lo menos 103.5 millones de mexicanos.</w:t>
      </w:r>
    </w:p>
    <w:p w:rsidR="00000000" w:rsidDel="00000000" w:rsidP="00000000" w:rsidRDefault="00000000" w:rsidRPr="00000000" w14:paraId="00000002">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26 de septiembre de 2018)- </w:t>
      </w:r>
      <w:r w:rsidDel="00000000" w:rsidR="00000000" w:rsidRPr="00000000">
        <w:rPr>
          <w:rFonts w:ascii="Arial Narrow" w:cs="Arial Narrow" w:eastAsia="Arial Narrow" w:hAnsi="Arial Narrow"/>
          <w:rtl w:val="0"/>
        </w:rPr>
        <w:t xml:space="preserve">CAF –banco de desarrollo de América Latina- firmó un crédito de largo plazo a ALTÁN Redes por USD 50 millones para impulsar el diseño, instalación, despliegue, operación, mantenimiento y actualización de la Red Compartida de telecomunicaciones en México, ya en completa operación, así como la comercialización del servicio mayorista de telecomunicaciones.</w:t>
      </w:r>
    </w:p>
    <w:p w:rsidR="00000000" w:rsidDel="00000000" w:rsidP="00000000" w:rsidRDefault="00000000" w:rsidRPr="00000000" w14:paraId="00000003">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Red Compartida contempla el aprovechamiento de 90 MHz en la banda de frecuencia de 700 MHz del espectro, -la banda de frecuencia más poderosa que existe-, en concesión bajo la figura de arrendamiento, así como el derecho de uso sobre un par de hilos de fibra óptica de TELECOM, por un periodo de 20 años renovable. El nuevo servicio mayorista ofrecerá cobertura 4G-LTE a por lo menos 103.5 millones de mexicanos (92,2% de la población) y permitirá a los operadores brindar servicios de telecomunicaciones con tecnología de última generación para llevar voz, datos y videos de máxima calidad a todo el país, incluyendo poblaciones que no son cubiertas por las redes actuales. La red fue puesta en operación el 21 de marzo pasado, con una cobertura de 32.2% de la población equivalente a 36.1 millones de habitantes, 5.8 millones de ellos en localidades de menos de 10,000 habitantes.</w:t>
      </w:r>
    </w:p>
    <w:p w:rsidR="00000000" w:rsidDel="00000000" w:rsidP="00000000" w:rsidRDefault="00000000" w:rsidRPr="00000000" w14:paraId="0000000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Durante la firma de la operación junto al director general de ALTÁN Redes, Sr. Javier Salgado, el representante de CAF en México, Emilio Uquillas Freire, destacó que “este proyecto tiene varios efectos positivos en un aspecto clave en la competitividad y productividad del país como es la conectividad. Iniciativas como la que actualmente CAF apoya, contribuyen por un lado con la democratización y acceso a los servicios de telecomunicaciones y por otro, inciden en la promoción de mayor competencia y oferta de dichos servicios. De este modo se construye una plataforma para que un mayor número de ciudadanos accedan a todos los servicios que sin duda impactan en su bienestar. Además, los instrumentos financieros para que esta iniciativa prospere, contemplan el esfuerzo tanto del sector público como del privado y facilitan en el despliegue, desarrollo y uso eficiente de la infraestructura de conectividad en el país, aspecto alineado con el fomento que ofrece CAF a la mayor productividad y al desarrollo sostenible”. </w:t>
      </w:r>
    </w:p>
    <w:p w:rsidR="00000000" w:rsidDel="00000000" w:rsidP="00000000" w:rsidRDefault="00000000" w:rsidRPr="00000000" w14:paraId="0000000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Mediante un modelo innovador de servicios mayoristas y no discriminatorios de telecomunicaciones móviles, la Red Compartida promoverá los ecosistemas de economía digital y la articulación público-privada, con énfasis en la creación de mayor valor agregado, el aumento del trabajo calificado y la formación de recursos humanos para incrementar la productividad y competitividad de todos los sectores de la economía mexicana.</w:t>
      </w:r>
    </w:p>
    <w:p w:rsidR="00000000" w:rsidDel="00000000" w:rsidP="00000000" w:rsidRDefault="00000000" w:rsidRPr="00000000" w14:paraId="00000006">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7">
      <w:pPr>
        <w:spacing w:after="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8">
      <w:pPr>
        <w:spacing w:after="0" w:line="240" w:lineRule="auto"/>
        <w:contextualSpacing w:val="0"/>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0">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contextualSpacing w:val="0"/>
      <w:rPr/>
    </w:pPr>
    <w:r w:rsidDel="00000000" w:rsidR="00000000" w:rsidRPr="00000000">
      <w:rPr/>
      <w:drawing>
        <wp:inline distB="0" distT="0" distL="0" distR="0">
          <wp:extent cx="2070841" cy="441113"/>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AgendaCAF?lang=es" TargetMode="Externa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3.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